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35" w:rsidRPr="00C36371" w:rsidRDefault="00B05635" w:rsidP="00B05635">
      <w:pPr>
        <w:pStyle w:val="1"/>
        <w:rPr>
          <w:rStyle w:val="a4"/>
          <w:rFonts w:ascii="Times New Roman" w:hAnsi="Times New Roman"/>
        </w:rPr>
      </w:pPr>
      <w:bookmarkStart w:id="0" w:name="_Toc177639075"/>
      <w:r w:rsidRPr="00C36371">
        <w:rPr>
          <w:rStyle w:val="a4"/>
          <w:rFonts w:ascii="Times New Roman" w:hAnsi="Times New Roman"/>
        </w:rPr>
        <w:t>Приложение №5 к положению по осуществлению договорной работы</w:t>
      </w:r>
      <w:bookmarkEnd w:id="0"/>
    </w:p>
    <w:p w:rsidR="00B05635" w:rsidRPr="00C36371" w:rsidRDefault="00B05635" w:rsidP="00B05635">
      <w:pPr>
        <w:tabs>
          <w:tab w:val="left" w:pos="4875"/>
        </w:tabs>
        <w:rPr>
          <w:rStyle w:val="a4"/>
        </w:rPr>
      </w:pPr>
      <w:r w:rsidRPr="00C36371">
        <w:rPr>
          <w:rStyle w:val="a4"/>
        </w:rPr>
        <w:t>Регламент о порядке и критериях аккредитации юридических лиц и индивидуальных предпринимателей.</w:t>
      </w:r>
    </w:p>
    <w:p w:rsidR="00B05635" w:rsidRPr="00C36371" w:rsidRDefault="00B05635" w:rsidP="00B05635">
      <w:pPr>
        <w:jc w:val="right"/>
        <w:rPr>
          <w:b/>
        </w:rPr>
      </w:pPr>
    </w:p>
    <w:p w:rsidR="00B05635" w:rsidRPr="00C36371" w:rsidRDefault="00B05635" w:rsidP="00B05635">
      <w:pPr>
        <w:jc w:val="center"/>
        <w:rPr>
          <w:b/>
        </w:rPr>
      </w:pPr>
    </w:p>
    <w:p w:rsidR="00B05635" w:rsidRPr="00C36371" w:rsidRDefault="00B05635" w:rsidP="00B05635">
      <w:pPr>
        <w:jc w:val="center"/>
        <w:rPr>
          <w:b/>
        </w:rPr>
      </w:pPr>
      <w:r w:rsidRPr="00C36371">
        <w:rPr>
          <w:b/>
        </w:rPr>
        <w:t xml:space="preserve">Регламент о порядке и критериях аккредитации юридических лиц и </w:t>
      </w:r>
    </w:p>
    <w:p w:rsidR="00B05635" w:rsidRPr="00C36371" w:rsidRDefault="00B05635" w:rsidP="00B05635">
      <w:pPr>
        <w:jc w:val="center"/>
        <w:rPr>
          <w:b/>
        </w:rPr>
      </w:pPr>
      <w:r w:rsidRPr="00C36371">
        <w:rPr>
          <w:b/>
        </w:rPr>
        <w:t>индивидуальных предпринимателей.</w:t>
      </w:r>
    </w:p>
    <w:p w:rsidR="00B05635" w:rsidRPr="00C36371" w:rsidRDefault="00B05635" w:rsidP="00B05635">
      <w:pPr>
        <w:jc w:val="center"/>
        <w:rPr>
          <w:b/>
        </w:rPr>
      </w:pPr>
    </w:p>
    <w:p w:rsidR="00B05635" w:rsidRPr="00C36371" w:rsidRDefault="00B05635" w:rsidP="00B05635">
      <w:pPr>
        <w:jc w:val="both"/>
      </w:pPr>
      <w:r w:rsidRPr="00C36371">
        <w:t>1. В целях участия в тендерных процедурах на выбор поставщиков товаров, работ и услуг контрагенты Общества в обязательном порядке проходят аккредитацию, согласно условиям настоящего раздела.</w:t>
      </w:r>
    </w:p>
    <w:p w:rsidR="00B05635" w:rsidRPr="00C36371" w:rsidRDefault="00B05635" w:rsidP="00B05635">
      <w:pPr>
        <w:jc w:val="both"/>
      </w:pPr>
      <w:r w:rsidRPr="00C36371">
        <w:t>2. Аккредитованных контрагентов Ответственные лица заносят в соответствующие реестры (поставщиков товаров и услуг, субподрядчиков).</w:t>
      </w:r>
    </w:p>
    <w:p w:rsidR="00B05635" w:rsidRPr="00C36371" w:rsidRDefault="00B05635" w:rsidP="00B05635">
      <w:pPr>
        <w:jc w:val="both"/>
      </w:pPr>
      <w:r w:rsidRPr="00C36371">
        <w:t>3. При проведении тендера Ответственный исполнитель направляет уведомление об участии в тендере всем аккредитованным контрагентам, указанным в соответствующем реестре, согласно заявленной контрагентом деятельности и предмету тендера.</w:t>
      </w:r>
    </w:p>
    <w:p w:rsidR="00B05635" w:rsidRPr="00C36371" w:rsidRDefault="00B05635" w:rsidP="00B05635">
      <w:pPr>
        <w:jc w:val="both"/>
      </w:pPr>
      <w:r w:rsidRPr="00C36371">
        <w:t xml:space="preserve">4. Ответственным лицом за ведение Реестра поставщиков товаров и услуг является Руководитель службы снабжения. Реестр поставщиков товаров и услуг подлежит актуализации на постоянной основе и является приложением к «Положению о порядке проведения тендера по закупу, предшествующему поставке товара на объект строительства». </w:t>
      </w:r>
    </w:p>
    <w:p w:rsidR="00B05635" w:rsidRPr="00C36371" w:rsidRDefault="00B05635" w:rsidP="00B05635">
      <w:pPr>
        <w:jc w:val="both"/>
      </w:pPr>
      <w:r w:rsidRPr="00C36371">
        <w:t>5. Ответственным лицом за ведение Реестра субподрядчиков является директор по строительству. Реестр субподрядных организаций подлежит актуализации на постоянной основе и является приложением к «Положению о порядке проведения тендера на выбор субподрядчика».</w:t>
      </w:r>
    </w:p>
    <w:p w:rsidR="00B05635" w:rsidRPr="00C36371" w:rsidRDefault="00B05635" w:rsidP="00B05635">
      <w:pPr>
        <w:jc w:val="both"/>
        <w:rPr>
          <w:b/>
        </w:rPr>
      </w:pPr>
      <w:r w:rsidRPr="00C36371">
        <w:rPr>
          <w:b/>
        </w:rPr>
        <w:t>1 этап – «Предварительная аккредитация»</w:t>
      </w:r>
    </w:p>
    <w:p w:rsidR="00B05635" w:rsidRPr="00C36371" w:rsidRDefault="00B05635" w:rsidP="00B05635">
      <w:pPr>
        <w:jc w:val="both"/>
      </w:pPr>
      <w:r w:rsidRPr="00C36371">
        <w:t xml:space="preserve">На данном этапе Ответственный исполнитель по электронной почте направляет специалисту Службы безопасности карточку контрагента для предварительной проверки: </w:t>
      </w:r>
    </w:p>
    <w:p w:rsidR="00B05635" w:rsidRPr="00C36371" w:rsidRDefault="00B05635" w:rsidP="00B05635">
      <w:pPr>
        <w:jc w:val="both"/>
      </w:pPr>
      <w:r w:rsidRPr="00C36371">
        <w:t>- для юридического лица – карточка со всеми реквизитами (ИНН, ОГРН, юр. адрес, исполнительный орган и т.д.);</w:t>
      </w:r>
    </w:p>
    <w:p w:rsidR="00B05635" w:rsidRPr="00C36371" w:rsidRDefault="00B05635" w:rsidP="00B05635">
      <w:pPr>
        <w:jc w:val="both"/>
      </w:pPr>
      <w:r w:rsidRPr="00C36371">
        <w:t>- для индивидуального предпринимателя – карточка со всеми реквизитами, включая паспортные данные и дату рождения ИП.</w:t>
      </w:r>
    </w:p>
    <w:p w:rsidR="00B05635" w:rsidRPr="00C36371" w:rsidRDefault="00B05635" w:rsidP="00B05635">
      <w:pPr>
        <w:jc w:val="both"/>
      </w:pPr>
      <w:r w:rsidRPr="00C36371">
        <w:t>Специалист СБ проводит предварительную проверку контрагента и направляет ответным письмом ответственному исполнителю согласование/не согласование данного контрагента для прохождения последующей аккредитации с прикреплением Отчета о должной осмотрительности на дату проверки.</w:t>
      </w:r>
    </w:p>
    <w:p w:rsidR="00B05635" w:rsidRPr="00C36371" w:rsidRDefault="00B05635" w:rsidP="00B05635">
      <w:pPr>
        <w:jc w:val="both"/>
        <w:rPr>
          <w:b/>
        </w:rPr>
      </w:pPr>
      <w:r w:rsidRPr="00C36371">
        <w:rPr>
          <w:b/>
        </w:rPr>
        <w:t>2 этап — «Аккредитация контрагента»</w:t>
      </w:r>
    </w:p>
    <w:p w:rsidR="00B05635" w:rsidRPr="00C36371" w:rsidRDefault="00B05635" w:rsidP="00B05635">
      <w:pPr>
        <w:jc w:val="both"/>
      </w:pPr>
      <w:r w:rsidRPr="00C36371">
        <w:t>На данном этапе происходит отбор квалифицированных компаний, которые в дальнейшем принимают участие в тендерах по своей деятельности (поставка товаров, выполнение работ, оказание услуг).</w:t>
      </w:r>
    </w:p>
    <w:p w:rsidR="00B05635" w:rsidRPr="00C36371" w:rsidRDefault="00B05635" w:rsidP="00B05635">
      <w:pPr>
        <w:jc w:val="both"/>
      </w:pPr>
      <w:r w:rsidRPr="00C36371">
        <w:t xml:space="preserve">Компании, прошедшие данный этап, включаются в Реестр поставщиков товаров и услуг и Реестр субподрядчиков. </w:t>
      </w:r>
    </w:p>
    <w:p w:rsidR="00B05635" w:rsidRPr="00C36371" w:rsidRDefault="00B05635" w:rsidP="00B05635">
      <w:pPr>
        <w:jc w:val="both"/>
      </w:pPr>
      <w:r w:rsidRPr="00C36371">
        <w:t>Ответственным руководителем за аккредитацию контрагентов является заместитель директора по безопасности.</w:t>
      </w:r>
    </w:p>
    <w:p w:rsidR="00B05635" w:rsidRPr="007518C7" w:rsidRDefault="00B05635" w:rsidP="00B05635">
      <w:pPr>
        <w:jc w:val="both"/>
      </w:pPr>
      <w:r w:rsidRPr="007518C7">
        <w:t xml:space="preserve">Для того, чтобы пройти аккредитацию, компании заполняют анкету контрагента по форме Приложения №1 «Анкета для юридических лиц» или по форме Приложения  №2 «Анкета для индивидуальных предпринимателей» и направляют анкету и приложенные к ней документы на </w:t>
      </w:r>
      <w:r>
        <w:t xml:space="preserve">сайте </w:t>
      </w:r>
      <w:hyperlink r:id="rId4" w:history="1">
        <w:r w:rsidRPr="00EB7492">
          <w:rPr>
            <w:rStyle w:val="a3"/>
          </w:rPr>
          <w:t>https://kinetika59.ru/tenders_orders</w:t>
        </w:r>
      </w:hyperlink>
      <w:r>
        <w:t xml:space="preserve"> </w:t>
      </w:r>
    </w:p>
    <w:p w:rsidR="00B05635" w:rsidRPr="007518C7" w:rsidRDefault="00B05635" w:rsidP="00B05635">
      <w:pPr>
        <w:jc w:val="both"/>
      </w:pPr>
      <w:r w:rsidRPr="007518C7">
        <w:t>Специалист СБ направляет анкету и документы контрагента на аккредитацию путем согласования контрагента в 1С.</w:t>
      </w:r>
    </w:p>
    <w:p w:rsidR="00B05635" w:rsidRPr="00C36371" w:rsidRDefault="00B05635" w:rsidP="00B05635">
      <w:pPr>
        <w:jc w:val="both"/>
      </w:pPr>
      <w:r w:rsidRPr="007518C7">
        <w:lastRenderedPageBreak/>
        <w:t>Ответственными лицами на стадии согласования контрагента</w:t>
      </w:r>
      <w:r w:rsidRPr="00C36371">
        <w:t xml:space="preserve"> в рамках своей компетенции являются: служба безопасности, бухгалтерия, юристы.</w:t>
      </w:r>
    </w:p>
    <w:p w:rsidR="00B05635" w:rsidRPr="00C36371" w:rsidRDefault="00B05635" w:rsidP="00B05635">
      <w:pPr>
        <w:jc w:val="both"/>
      </w:pPr>
      <w:r w:rsidRPr="00C36371">
        <w:t>На стадии согласования контрагента в 1С оценке подлежат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3737"/>
        <w:gridCol w:w="4300"/>
      </w:tblGrid>
      <w:tr w:rsidR="00B05635" w:rsidRPr="00C36371" w:rsidTr="001D4E2E">
        <w:tc>
          <w:tcPr>
            <w:tcW w:w="1242" w:type="dxa"/>
            <w:shd w:val="clear" w:color="auto" w:fill="auto"/>
          </w:tcPr>
          <w:p w:rsidR="00B05635" w:rsidRPr="00C36371" w:rsidRDefault="00B05635" w:rsidP="001D4E2E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№п/п</w:t>
            </w:r>
          </w:p>
        </w:tc>
        <w:tc>
          <w:tcPr>
            <w:tcW w:w="3922" w:type="dxa"/>
            <w:shd w:val="clear" w:color="auto" w:fill="auto"/>
          </w:tcPr>
          <w:p w:rsidR="00B05635" w:rsidRPr="00C36371" w:rsidRDefault="00B05635" w:rsidP="001D4E2E">
            <w:pPr>
              <w:ind w:left="32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Критерии оценки</w:t>
            </w:r>
          </w:p>
        </w:tc>
        <w:tc>
          <w:tcPr>
            <w:tcW w:w="4501" w:type="dxa"/>
            <w:shd w:val="clear" w:color="auto" w:fill="auto"/>
          </w:tcPr>
          <w:p w:rsidR="00B05635" w:rsidRPr="00C36371" w:rsidRDefault="00B05635" w:rsidP="001D4E2E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Ответственное лицо</w:t>
            </w:r>
          </w:p>
        </w:tc>
      </w:tr>
      <w:tr w:rsidR="00B05635" w:rsidRPr="00C36371" w:rsidTr="001D4E2E">
        <w:tc>
          <w:tcPr>
            <w:tcW w:w="1242" w:type="dxa"/>
            <w:shd w:val="clear" w:color="auto" w:fill="auto"/>
          </w:tcPr>
          <w:p w:rsidR="00B05635" w:rsidRPr="00C36371" w:rsidRDefault="00B05635" w:rsidP="001D4E2E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1.</w:t>
            </w:r>
          </w:p>
        </w:tc>
        <w:tc>
          <w:tcPr>
            <w:tcW w:w="3922" w:type="dxa"/>
            <w:shd w:val="clear" w:color="auto" w:fill="auto"/>
          </w:tcPr>
          <w:p w:rsidR="00B05635" w:rsidRPr="00C36371" w:rsidRDefault="00B05635" w:rsidP="001D4E2E">
            <w:pPr>
              <w:ind w:left="32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Общий срок существования компании</w:t>
            </w:r>
          </w:p>
        </w:tc>
        <w:tc>
          <w:tcPr>
            <w:tcW w:w="4501" w:type="dxa"/>
            <w:shd w:val="clear" w:color="auto" w:fill="auto"/>
          </w:tcPr>
          <w:p w:rsidR="00B05635" w:rsidRPr="00C36371" w:rsidRDefault="00B05635" w:rsidP="001D4E2E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Специалист СБ</w:t>
            </w:r>
          </w:p>
        </w:tc>
      </w:tr>
      <w:tr w:rsidR="00B05635" w:rsidRPr="00C36371" w:rsidTr="001D4E2E">
        <w:tc>
          <w:tcPr>
            <w:tcW w:w="1242" w:type="dxa"/>
            <w:shd w:val="clear" w:color="auto" w:fill="auto"/>
          </w:tcPr>
          <w:p w:rsidR="00B05635" w:rsidRPr="00C36371" w:rsidRDefault="00B05635" w:rsidP="001D4E2E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2.</w:t>
            </w:r>
          </w:p>
        </w:tc>
        <w:tc>
          <w:tcPr>
            <w:tcW w:w="3922" w:type="dxa"/>
            <w:shd w:val="clear" w:color="auto" w:fill="auto"/>
          </w:tcPr>
          <w:p w:rsidR="00B05635" w:rsidRPr="00C36371" w:rsidRDefault="00B05635" w:rsidP="001D4E2E">
            <w:pPr>
              <w:ind w:left="32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Материально-технические ресурсы</w:t>
            </w:r>
          </w:p>
        </w:tc>
        <w:tc>
          <w:tcPr>
            <w:tcW w:w="4501" w:type="dxa"/>
            <w:shd w:val="clear" w:color="auto" w:fill="auto"/>
          </w:tcPr>
          <w:p w:rsidR="00B05635" w:rsidRPr="00C36371" w:rsidRDefault="00B05635" w:rsidP="001D4E2E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Специалист СБ</w:t>
            </w:r>
          </w:p>
        </w:tc>
      </w:tr>
      <w:tr w:rsidR="00B05635" w:rsidRPr="00C36371" w:rsidTr="001D4E2E">
        <w:tc>
          <w:tcPr>
            <w:tcW w:w="1242" w:type="dxa"/>
            <w:shd w:val="clear" w:color="auto" w:fill="auto"/>
          </w:tcPr>
          <w:p w:rsidR="00B05635" w:rsidRPr="00C36371" w:rsidRDefault="00B05635" w:rsidP="001D4E2E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3.</w:t>
            </w:r>
          </w:p>
        </w:tc>
        <w:tc>
          <w:tcPr>
            <w:tcW w:w="3922" w:type="dxa"/>
            <w:shd w:val="clear" w:color="auto" w:fill="auto"/>
          </w:tcPr>
          <w:p w:rsidR="00B05635" w:rsidRPr="00C36371" w:rsidRDefault="00B05635" w:rsidP="001D4E2E">
            <w:pPr>
              <w:ind w:left="32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Опыт работы за последние 3 года</w:t>
            </w:r>
          </w:p>
        </w:tc>
        <w:tc>
          <w:tcPr>
            <w:tcW w:w="4501" w:type="dxa"/>
            <w:shd w:val="clear" w:color="auto" w:fill="auto"/>
          </w:tcPr>
          <w:p w:rsidR="00B05635" w:rsidRPr="00C36371" w:rsidRDefault="00B05635" w:rsidP="001D4E2E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Специалист СБ</w:t>
            </w:r>
          </w:p>
        </w:tc>
      </w:tr>
      <w:tr w:rsidR="00B05635" w:rsidRPr="00C36371" w:rsidTr="001D4E2E">
        <w:tc>
          <w:tcPr>
            <w:tcW w:w="1242" w:type="dxa"/>
            <w:shd w:val="clear" w:color="auto" w:fill="auto"/>
          </w:tcPr>
          <w:p w:rsidR="00B05635" w:rsidRPr="00C36371" w:rsidRDefault="00B05635" w:rsidP="001D4E2E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4.</w:t>
            </w:r>
          </w:p>
        </w:tc>
        <w:tc>
          <w:tcPr>
            <w:tcW w:w="3922" w:type="dxa"/>
            <w:shd w:val="clear" w:color="auto" w:fill="auto"/>
          </w:tcPr>
          <w:p w:rsidR="00B05635" w:rsidRPr="00C36371" w:rsidRDefault="00B05635" w:rsidP="001D4E2E">
            <w:pPr>
              <w:ind w:left="32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Годовой оборот за последний год, налоговая нагрузка</w:t>
            </w:r>
          </w:p>
        </w:tc>
        <w:tc>
          <w:tcPr>
            <w:tcW w:w="4501" w:type="dxa"/>
            <w:shd w:val="clear" w:color="auto" w:fill="auto"/>
          </w:tcPr>
          <w:p w:rsidR="00B05635" w:rsidRPr="00C36371" w:rsidRDefault="00B05635" w:rsidP="001D4E2E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Специалист бухгалтерии</w:t>
            </w:r>
          </w:p>
        </w:tc>
      </w:tr>
      <w:tr w:rsidR="00B05635" w:rsidRPr="00C36371" w:rsidTr="001D4E2E">
        <w:tc>
          <w:tcPr>
            <w:tcW w:w="1242" w:type="dxa"/>
            <w:shd w:val="clear" w:color="auto" w:fill="auto"/>
          </w:tcPr>
          <w:p w:rsidR="00B05635" w:rsidRPr="00C36371" w:rsidRDefault="00B05635" w:rsidP="001D4E2E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5.</w:t>
            </w:r>
          </w:p>
        </w:tc>
        <w:tc>
          <w:tcPr>
            <w:tcW w:w="3922" w:type="dxa"/>
            <w:shd w:val="clear" w:color="auto" w:fill="auto"/>
          </w:tcPr>
          <w:p w:rsidR="00B05635" w:rsidRPr="00C36371" w:rsidRDefault="00B05635" w:rsidP="001D4E2E">
            <w:pPr>
              <w:ind w:left="32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Количество человек рабочих специальностей и ИТР</w:t>
            </w:r>
          </w:p>
        </w:tc>
        <w:tc>
          <w:tcPr>
            <w:tcW w:w="4501" w:type="dxa"/>
            <w:shd w:val="clear" w:color="auto" w:fill="auto"/>
          </w:tcPr>
          <w:p w:rsidR="00B05635" w:rsidRPr="00C36371" w:rsidRDefault="00B05635" w:rsidP="001D4E2E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 xml:space="preserve">Специалист бухгалтерии </w:t>
            </w:r>
          </w:p>
        </w:tc>
      </w:tr>
      <w:tr w:rsidR="00B05635" w:rsidRPr="00C36371" w:rsidTr="001D4E2E">
        <w:tc>
          <w:tcPr>
            <w:tcW w:w="1242" w:type="dxa"/>
            <w:shd w:val="clear" w:color="auto" w:fill="auto"/>
          </w:tcPr>
          <w:p w:rsidR="00B05635" w:rsidRPr="00C36371" w:rsidRDefault="00B05635" w:rsidP="001D4E2E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6.</w:t>
            </w:r>
          </w:p>
        </w:tc>
        <w:tc>
          <w:tcPr>
            <w:tcW w:w="3922" w:type="dxa"/>
            <w:shd w:val="clear" w:color="auto" w:fill="auto"/>
          </w:tcPr>
          <w:p w:rsidR="00B05635" w:rsidRPr="00C36371" w:rsidRDefault="00B05635" w:rsidP="001D4E2E">
            <w:pPr>
              <w:ind w:left="32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Судебная история компании</w:t>
            </w:r>
          </w:p>
        </w:tc>
        <w:tc>
          <w:tcPr>
            <w:tcW w:w="4501" w:type="dxa"/>
            <w:shd w:val="clear" w:color="auto" w:fill="auto"/>
          </w:tcPr>
          <w:p w:rsidR="00B05635" w:rsidRPr="00C36371" w:rsidRDefault="00B05635" w:rsidP="001D4E2E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юрист</w:t>
            </w:r>
          </w:p>
        </w:tc>
      </w:tr>
      <w:tr w:rsidR="00B05635" w:rsidRPr="00C36371" w:rsidTr="001D4E2E">
        <w:tc>
          <w:tcPr>
            <w:tcW w:w="1242" w:type="dxa"/>
            <w:shd w:val="clear" w:color="auto" w:fill="auto"/>
          </w:tcPr>
          <w:p w:rsidR="00B05635" w:rsidRPr="00C36371" w:rsidRDefault="00B05635" w:rsidP="001D4E2E">
            <w:pPr>
              <w:ind w:firstLine="539"/>
              <w:jc w:val="center"/>
              <w:rPr>
                <w:rFonts w:eastAsia="Calibri"/>
              </w:rPr>
            </w:pPr>
            <w:r w:rsidRPr="00C36371">
              <w:rPr>
                <w:rFonts w:eastAsia="Calibri"/>
              </w:rPr>
              <w:t>7.</w:t>
            </w:r>
          </w:p>
        </w:tc>
        <w:tc>
          <w:tcPr>
            <w:tcW w:w="3922" w:type="dxa"/>
            <w:shd w:val="clear" w:color="auto" w:fill="auto"/>
          </w:tcPr>
          <w:p w:rsidR="00B05635" w:rsidRPr="00C36371" w:rsidRDefault="00B05635" w:rsidP="001D4E2E">
            <w:pPr>
              <w:ind w:left="32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Достоверность сведений, указанных в анкете</w:t>
            </w:r>
          </w:p>
        </w:tc>
        <w:tc>
          <w:tcPr>
            <w:tcW w:w="4501" w:type="dxa"/>
            <w:shd w:val="clear" w:color="auto" w:fill="auto"/>
          </w:tcPr>
          <w:p w:rsidR="00B05635" w:rsidRPr="00C36371" w:rsidRDefault="00B05635" w:rsidP="001D4E2E">
            <w:pPr>
              <w:ind w:firstLine="539"/>
              <w:jc w:val="both"/>
              <w:rPr>
                <w:rFonts w:eastAsia="Calibri"/>
              </w:rPr>
            </w:pPr>
            <w:r w:rsidRPr="00C36371">
              <w:rPr>
                <w:rFonts w:eastAsia="Calibri"/>
              </w:rPr>
              <w:t>Специалист СБ</w:t>
            </w:r>
          </w:p>
        </w:tc>
      </w:tr>
    </w:tbl>
    <w:p w:rsidR="00B05635" w:rsidRPr="00C36371" w:rsidRDefault="00B05635" w:rsidP="00B05635">
      <w:pPr>
        <w:jc w:val="both"/>
      </w:pPr>
    </w:p>
    <w:p w:rsidR="00B05635" w:rsidRPr="00C36371" w:rsidRDefault="00B05635" w:rsidP="00B05635">
      <w:pPr>
        <w:jc w:val="both"/>
      </w:pPr>
      <w:r w:rsidRPr="00C36371">
        <w:t>При прохождении согласования контрагента ответственные лица вправе писать комментарии об условиях дальнейшей работы с контрагентом, например, оплата по факту поставки, выполнения работ и т.д. Срок согласования – 3 рабочих дня.</w:t>
      </w:r>
    </w:p>
    <w:p w:rsidR="00B05635" w:rsidRPr="00C36371" w:rsidRDefault="00B05635" w:rsidP="00B05635">
      <w:pPr>
        <w:jc w:val="both"/>
      </w:pPr>
      <w:r w:rsidRPr="00C36371">
        <w:t>После согласования контрагента в 1С всеми ответственными лицами контрагент получает статус аккредитованной организации, и специалист службы безопасности направляет в 1С задачу</w:t>
      </w:r>
      <w:r>
        <w:t>,</w:t>
      </w:r>
      <w:r w:rsidRPr="00C36371">
        <w:t xml:space="preserve"> о внесении контрагента в соответствующий реестр (поставщиков или субподрядчиков</w:t>
      </w:r>
      <w:r>
        <w:t>)</w:t>
      </w:r>
      <w:r w:rsidRPr="009667DA">
        <w:t xml:space="preserve"> </w:t>
      </w:r>
      <w:r w:rsidRPr="00C36371">
        <w:t>ответственному лицу</w:t>
      </w:r>
      <w:r>
        <w:t>, уполномоченному Директором по строительству</w:t>
      </w:r>
      <w:r w:rsidRPr="00C36371">
        <w:t>.</w:t>
      </w:r>
    </w:p>
    <w:p w:rsidR="00B05635" w:rsidRPr="00C36371" w:rsidRDefault="00B05635" w:rsidP="00B05635">
      <w:pPr>
        <w:jc w:val="both"/>
      </w:pPr>
      <w:r w:rsidRPr="00C36371">
        <w:t xml:space="preserve">Далее в течение 2-х рабочих дней с момента аккредитации специалист СБ направляет Уведомление о прохождении/не прохождении аккредитации на электронную почту компании, указанную в анкете.  </w:t>
      </w:r>
    </w:p>
    <w:p w:rsidR="00B05635" w:rsidRPr="00C36371" w:rsidRDefault="00B05635" w:rsidP="00B05635">
      <w:pPr>
        <w:jc w:val="both"/>
        <w:rPr>
          <w:b/>
        </w:rPr>
      </w:pPr>
      <w:r w:rsidRPr="00C36371">
        <w:rPr>
          <w:b/>
        </w:rPr>
        <w:t>3 этап – «Проведение тендера»</w:t>
      </w:r>
    </w:p>
    <w:p w:rsidR="00B05635" w:rsidRPr="00C36371" w:rsidRDefault="00B05635" w:rsidP="00B05635">
      <w:pPr>
        <w:jc w:val="both"/>
      </w:pPr>
      <w:r w:rsidRPr="00C36371">
        <w:t xml:space="preserve">Тендеры проводятся на основании «Положения о порядке проведения тендера по закупу, предшествующему поставке товара на объект строительства» и «Положению о порядке проведения тендера на выбор субподрядчика». </w:t>
      </w:r>
    </w:p>
    <w:p w:rsidR="00B05635" w:rsidRPr="00C36371" w:rsidRDefault="00B05635" w:rsidP="00B05635">
      <w:pPr>
        <w:jc w:val="both"/>
      </w:pPr>
      <w:r w:rsidRPr="00C36371">
        <w:t xml:space="preserve">При проведении тендера Ответственный исполнитель в обязательном порядке направляет уведомление об участии в тендере </w:t>
      </w:r>
      <w:r w:rsidRPr="00C36371">
        <w:rPr>
          <w:b/>
        </w:rPr>
        <w:t>всем аккредитованным контрагентам</w:t>
      </w:r>
      <w:r w:rsidRPr="00C36371">
        <w:t>, указанным в соответствующем реестре, согласно заявленной контрагентом деятельности и предмету тендера.</w:t>
      </w:r>
    </w:p>
    <w:p w:rsidR="00B05635" w:rsidRPr="00C36371" w:rsidRDefault="00B05635" w:rsidP="00B05635">
      <w:pPr>
        <w:jc w:val="both"/>
      </w:pPr>
    </w:p>
    <w:p w:rsidR="00B05635" w:rsidRPr="00C36371" w:rsidRDefault="00B05635" w:rsidP="00B05635">
      <w:pPr>
        <w:jc w:val="both"/>
      </w:pPr>
      <w:r w:rsidRPr="00C36371">
        <w:t>Приложения:</w:t>
      </w:r>
    </w:p>
    <w:p w:rsidR="00B05635" w:rsidRPr="00C36371" w:rsidRDefault="00B05635" w:rsidP="00B05635">
      <w:pPr>
        <w:jc w:val="both"/>
      </w:pPr>
      <w:r w:rsidRPr="00C36371">
        <w:t>Приложение №1 – Анкета контрагента юридического лица</w:t>
      </w:r>
    </w:p>
    <w:p w:rsidR="00B05635" w:rsidRPr="00C36371" w:rsidRDefault="00B05635" w:rsidP="00B05635">
      <w:pPr>
        <w:jc w:val="both"/>
      </w:pPr>
      <w:r w:rsidRPr="00C36371">
        <w:t>Приложение №2 – Анкета контрагента индивидуального предпринимателя</w:t>
      </w:r>
    </w:p>
    <w:p w:rsidR="00B05635" w:rsidRPr="00C36371" w:rsidRDefault="00B05635" w:rsidP="00B05635">
      <w:pPr>
        <w:jc w:val="both"/>
      </w:pPr>
      <w:r w:rsidRPr="00C36371">
        <w:t>Приложение №3 – Согласие на обработку персональных данных</w:t>
      </w:r>
    </w:p>
    <w:p w:rsidR="00B05635" w:rsidRPr="00C36371" w:rsidRDefault="00B05635" w:rsidP="00B05635">
      <w:pPr>
        <w:tabs>
          <w:tab w:val="left" w:pos="-142"/>
        </w:tabs>
        <w:ind w:left="-142" w:right="-1"/>
        <w:jc w:val="right"/>
      </w:pPr>
    </w:p>
    <w:p w:rsidR="00B05635" w:rsidRPr="00C36371" w:rsidRDefault="00B05635" w:rsidP="00B05635">
      <w:pPr>
        <w:tabs>
          <w:tab w:val="left" w:pos="-142"/>
        </w:tabs>
        <w:ind w:left="-142" w:right="-1"/>
        <w:jc w:val="right"/>
      </w:pPr>
    </w:p>
    <w:p w:rsidR="00B05635" w:rsidRPr="00C36371" w:rsidRDefault="00B05635" w:rsidP="00B05635">
      <w:pPr>
        <w:tabs>
          <w:tab w:val="left" w:pos="-142"/>
        </w:tabs>
        <w:ind w:left="-142" w:right="-1"/>
        <w:jc w:val="right"/>
      </w:pPr>
    </w:p>
    <w:p w:rsidR="00B05635" w:rsidRPr="00C36371" w:rsidRDefault="00B05635" w:rsidP="00B05635">
      <w:pPr>
        <w:tabs>
          <w:tab w:val="left" w:pos="-142"/>
        </w:tabs>
        <w:ind w:left="-142" w:right="-1"/>
        <w:jc w:val="right"/>
      </w:pPr>
    </w:p>
    <w:p w:rsidR="00B05635" w:rsidRPr="00C36371" w:rsidRDefault="00B05635" w:rsidP="00B05635">
      <w:pPr>
        <w:tabs>
          <w:tab w:val="left" w:pos="-142"/>
        </w:tabs>
        <w:ind w:left="-142" w:right="-1"/>
        <w:jc w:val="right"/>
      </w:pPr>
    </w:p>
    <w:p w:rsidR="00B05635" w:rsidRPr="00C36371" w:rsidRDefault="00B05635" w:rsidP="00B05635">
      <w:pPr>
        <w:tabs>
          <w:tab w:val="left" w:pos="-142"/>
        </w:tabs>
        <w:ind w:left="-142" w:right="-1"/>
        <w:jc w:val="right"/>
      </w:pPr>
    </w:p>
    <w:p w:rsidR="00B05635" w:rsidRDefault="00B05635" w:rsidP="00B05635">
      <w:pPr>
        <w:tabs>
          <w:tab w:val="left" w:pos="-142"/>
        </w:tabs>
        <w:ind w:left="-142" w:right="-1"/>
        <w:jc w:val="right"/>
      </w:pPr>
    </w:p>
    <w:p w:rsidR="00B05635" w:rsidRDefault="00B05635" w:rsidP="00B05635">
      <w:pPr>
        <w:tabs>
          <w:tab w:val="left" w:pos="-142"/>
        </w:tabs>
        <w:ind w:left="-142" w:right="-1"/>
        <w:jc w:val="right"/>
      </w:pPr>
    </w:p>
    <w:p w:rsidR="00B05635" w:rsidRDefault="00B05635" w:rsidP="00B05635">
      <w:pPr>
        <w:tabs>
          <w:tab w:val="left" w:pos="-142"/>
        </w:tabs>
        <w:ind w:left="-142" w:right="-1"/>
        <w:jc w:val="right"/>
      </w:pPr>
    </w:p>
    <w:p w:rsidR="009958B3" w:rsidRDefault="009958B3">
      <w:bookmarkStart w:id="1" w:name="_GoBack"/>
      <w:bookmarkEnd w:id="1"/>
    </w:p>
    <w:sectPr w:rsidR="0099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35"/>
    <w:rsid w:val="009958B3"/>
    <w:rsid w:val="00B0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E898D-5B72-42F3-8C84-7E2D2D95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6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056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635"/>
    <w:rPr>
      <w:rFonts w:ascii="Calibri Light" w:eastAsia="Times New Roman" w:hAnsi="Calibri Light" w:cs="Times New Roman"/>
      <w:b/>
      <w:bCs/>
      <w:kern w:val="32"/>
      <w:sz w:val="32"/>
      <w:szCs w:val="32"/>
      <w:lang w:eastAsia="ru-RU" w:bidi="ru-RU"/>
    </w:rPr>
  </w:style>
  <w:style w:type="character" w:styleId="a3">
    <w:name w:val="Hyperlink"/>
    <w:uiPriority w:val="99"/>
    <w:unhideWhenUsed/>
    <w:rsid w:val="00B05635"/>
    <w:rPr>
      <w:color w:val="0000FF"/>
      <w:u w:val="single"/>
    </w:rPr>
  </w:style>
  <w:style w:type="character" w:styleId="a4">
    <w:name w:val="Strong"/>
    <w:qFormat/>
    <w:rsid w:val="00B05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netika59.ru/tenders_ord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yurist1</dc:creator>
  <cp:keywords/>
  <dc:description/>
  <cp:lastModifiedBy>yurist1</cp:lastModifiedBy>
  <cp:revision>1</cp:revision>
  <dcterms:created xsi:type="dcterms:W3CDTF">2024-10-18T11:17:00Z</dcterms:created>
  <dcterms:modified xsi:type="dcterms:W3CDTF">2024-10-18T11:17:00Z</dcterms:modified>
</cp:coreProperties>
</file>